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8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招标公告</w:t>
      </w:r>
    </w:p>
    <w:p>
      <w:pPr>
        <w:snapToGrid w:val="0"/>
        <w:jc w:val="center"/>
        <w:rPr>
          <w:rFonts w:ascii="宋体" w:hAnsi="宋体" w:cs="宋体"/>
          <w:bCs/>
          <w:sz w:val="24"/>
          <w:highlight w:val="none"/>
        </w:rPr>
      </w:pPr>
    </w:p>
    <w:p>
      <w:pPr>
        <w:snapToGrid w:val="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    </w:t>
      </w:r>
    </w:p>
    <w:p>
      <w:pPr>
        <w:snapToGrid w:val="0"/>
        <w:spacing w:before="156" w:beforeLines="50" w:after="156" w:afterLines="50"/>
        <w:ind w:firstLine="477" w:firstLineChars="198"/>
        <w:jc w:val="left"/>
        <w:rPr>
          <w:rFonts w:ascii="宋体" w:hAnsi="宋体" w:cs="宋体"/>
          <w:bCs/>
          <w:sz w:val="24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 w:val="24"/>
          <w:szCs w:val="21"/>
          <w:highlight w:val="none"/>
          <w:u w:val="single"/>
        </w:rPr>
        <w:t>成都生物制品研究所有限责任公司</w:t>
      </w:r>
      <w:r>
        <w:rPr>
          <w:rFonts w:hint="eastAsia" w:ascii="宋体" w:hAnsi="宋体" w:cs="宋体"/>
          <w:b/>
          <w:sz w:val="24"/>
          <w:szCs w:val="21"/>
          <w:highlight w:val="none"/>
          <w:u w:val="single"/>
          <w:lang w:val="en-US" w:eastAsia="zh-CN"/>
        </w:rPr>
        <w:t>园区供水管网改造项目管线迁改施工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组织</w:t>
      </w:r>
      <w:r>
        <w:rPr>
          <w:rFonts w:hint="eastAsia" w:ascii="宋体" w:hAnsi="宋体" w:cs="宋体"/>
          <w:b/>
          <w:sz w:val="24"/>
          <w:szCs w:val="21"/>
          <w:highlight w:val="none"/>
          <w:u w:val="single"/>
        </w:rPr>
        <w:t>招标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，现将相关事项公告如下：</w:t>
      </w:r>
    </w:p>
    <w:p>
      <w:pPr>
        <w:widowControl/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项目概况与招标范围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  <w:u w:val="singl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建设地点：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成都市锦华路三段379号厂区内；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招标范围：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新建管廊沿途既有工艺管道、强弱电缆等管线迁改及保护，根据招标图纸及方案出具深化设计方案指导施工，</w:t>
      </w:r>
      <w:r>
        <w:rPr>
          <w:rFonts w:hint="eastAsia"/>
          <w:sz w:val="24"/>
          <w:highlight w:val="none"/>
          <w:u w:val="single"/>
        </w:rPr>
        <w:t>清单范围所含的全部施工内容，详见招标工程量清单</w:t>
      </w:r>
      <w:r>
        <w:rPr>
          <w:rFonts w:hint="eastAsia"/>
          <w:sz w:val="24"/>
          <w:highlight w:val="none"/>
          <w:u w:val="single"/>
          <w:lang w:val="en-US" w:eastAsia="zh-CN"/>
        </w:rPr>
        <w:t>和迁改方案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；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工期：管廊施工范围</w:t>
      </w:r>
      <w:r>
        <w:rPr>
          <w:rFonts w:hint="eastAsia" w:ascii="宋体" w:hAnsi="宋体" w:cs="宋体"/>
          <w:bCs/>
          <w:sz w:val="24"/>
          <w:szCs w:val="21"/>
          <w:highlight w:val="none"/>
          <w:lang w:val="en-US" w:eastAsia="zh-CN"/>
        </w:rPr>
        <w:t>内影响管线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应在</w:t>
      </w:r>
      <w:r>
        <w:rPr>
          <w:rFonts w:hint="eastAsia" w:ascii="宋体" w:hAnsi="宋体" w:cs="宋体"/>
          <w:bCs/>
          <w:sz w:val="24"/>
          <w:szCs w:val="21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3月</w:t>
      </w:r>
      <w:r>
        <w:rPr>
          <w:rFonts w:hint="eastAsia" w:ascii="宋体" w:hAnsi="宋体" w:cs="宋体"/>
          <w:bCs/>
          <w:sz w:val="24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日前完成迁改</w:t>
      </w:r>
      <w:r>
        <w:rPr>
          <w:rFonts w:hint="eastAsia" w:ascii="宋体" w:hAnsi="宋体" w:cs="宋体"/>
          <w:bCs/>
          <w:sz w:val="24"/>
          <w:szCs w:val="21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clear" w:pos="420"/>
        </w:tabs>
        <w:snapToGrid w:val="0"/>
        <w:spacing w:before="156" w:beforeLines="50" w:after="156" w:afterLines="5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投标人资格要求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具有独立法人资格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；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资质要求：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firstLine="0"/>
        <w:jc w:val="left"/>
        <w:textAlignment w:val="auto"/>
        <w:outlineLvl w:val="9"/>
        <w:rPr>
          <w:rFonts w:ascii="宋体" w:hAnsi="宋体" w:cs="宋体"/>
          <w:bCs/>
          <w:sz w:val="24"/>
          <w:szCs w:val="21"/>
          <w:highlight w:val="none"/>
          <w:u w:val="single"/>
        </w:rPr>
      </w:pP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建设行政主管部门颁发的机电工程施工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总承包三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级及以上资质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；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具备国家行政主管部门颁发的安全生产许可证</w:t>
      </w:r>
      <w:r>
        <w:rPr>
          <w:rFonts w:hint="eastAsia" w:ascii="宋体" w:hAnsi="宋体" w:cs="宋体"/>
          <w:bCs/>
          <w:sz w:val="24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firstLine="0"/>
        <w:jc w:val="left"/>
        <w:textAlignment w:val="auto"/>
        <w:outlineLvl w:val="9"/>
        <w:rPr>
          <w:rFonts w:ascii="宋体" w:hAnsi="宋体" w:cs="宋体"/>
          <w:bCs/>
          <w:sz w:val="24"/>
          <w:szCs w:val="21"/>
          <w:highlight w:val="none"/>
          <w:u w:val="singl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施工负责人：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项目经理（项目负责人）具有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机电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工程专业二级或以上注册建造师证书(须为投标人本单位人员) ，须具备有效的安全生产考核合格B证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firstLine="0"/>
        <w:jc w:val="left"/>
        <w:textAlignment w:val="auto"/>
        <w:outlineLvl w:val="9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业绩要求：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left="42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业绩要求：</w:t>
      </w:r>
      <w:r>
        <w:rPr>
          <w:rFonts w:hint="eastAsia" w:ascii="宋体" w:hAnsi="宋体"/>
          <w:sz w:val="24"/>
          <w:highlight w:val="none"/>
          <w:u w:val="single"/>
        </w:rPr>
        <w:t>20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22</w:t>
      </w:r>
      <w:r>
        <w:rPr>
          <w:rFonts w:hint="eastAsia" w:ascii="宋体" w:hAnsi="宋体"/>
          <w:sz w:val="24"/>
          <w:highlight w:val="none"/>
          <w:u w:val="single"/>
        </w:rPr>
        <w:t>年以来具有1个已完的类似项目业绩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left="420" w:firstLine="480" w:firstLineChars="200"/>
        <w:jc w:val="left"/>
        <w:textAlignment w:val="auto"/>
        <w:outlineLvl w:val="9"/>
        <w:rPr>
          <w:rFonts w:hint="eastAsia"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类似业绩：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单个合同金额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100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万以上的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机电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施工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业绩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（以合同签订时间为准）</w:t>
      </w:r>
      <w:r>
        <w:rPr>
          <w:rFonts w:hint="eastAsia" w:ascii="宋体" w:hAnsi="宋体" w:cs="宋体"/>
          <w:bCs/>
          <w:sz w:val="24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firstLine="0"/>
        <w:jc w:val="left"/>
        <w:textAlignment w:val="auto"/>
        <w:outlineLvl w:val="9"/>
        <w:rPr>
          <w:rFonts w:hint="eastAsia" w:ascii="宋体" w:hAnsi="宋体" w:cs="宋体"/>
          <w:bCs/>
          <w:sz w:val="24"/>
          <w:szCs w:val="21"/>
          <w:highlight w:val="none"/>
          <w:u w:val="single"/>
        </w:rPr>
      </w:pP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信誉要求：“信用中国”网站查询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eastAsia="zh-CN"/>
        </w:rPr>
        <w:t>无失信惩戒记录；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firstLine="0"/>
        <w:jc w:val="left"/>
        <w:textAlignment w:val="auto"/>
        <w:outlineLvl w:val="9"/>
        <w:rPr>
          <w:rFonts w:hint="eastAsia" w:ascii="宋体" w:hAnsi="宋体" w:cs="宋体"/>
          <w:bCs/>
          <w:sz w:val="24"/>
          <w:szCs w:val="21"/>
          <w:highlight w:val="none"/>
          <w:u w:val="single"/>
        </w:rPr>
      </w:pP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财务要求：提供近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年财务审计报告复印件（必须包括审计报告正文、资产负债表、利润表，现金流量表）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或银行出具的资信证明。</w:t>
      </w:r>
    </w:p>
    <w:p>
      <w:pPr>
        <w:numPr>
          <w:ilvl w:val="0"/>
          <w:numId w:val="1"/>
        </w:numPr>
        <w:tabs>
          <w:tab w:val="clear" w:pos="420"/>
        </w:tabs>
        <w:snapToGrid w:val="0"/>
        <w:spacing w:before="156" w:beforeLines="50" w:after="156" w:afterLines="50"/>
        <w:rPr>
          <w:rFonts w:hint="eastAsia"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招标文件的获取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于</w:t>
      </w:r>
      <w:r>
        <w:rPr>
          <w:rFonts w:hint="eastAsia" w:ascii="宋体" w:hAnsi="宋体"/>
          <w:sz w:val="24"/>
          <w:highlight w:val="none"/>
          <w:u w:val="single"/>
        </w:rPr>
        <w:t>202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  <w:u w:val="single"/>
        </w:rPr>
        <w:t>年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  <w:u w:val="single"/>
        </w:rPr>
        <w:t>月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/>
          <w:sz w:val="24"/>
          <w:highlight w:val="none"/>
          <w:u w:val="single"/>
        </w:rPr>
        <w:t>日-202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  <w:u w:val="single"/>
        </w:rPr>
        <w:t>年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  <w:u w:val="single"/>
        </w:rPr>
        <w:t>月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27</w:t>
      </w:r>
      <w:r>
        <w:rPr>
          <w:rFonts w:hint="eastAsia" w:ascii="宋体" w:hAnsi="宋体"/>
          <w:sz w:val="24"/>
          <w:highlight w:val="none"/>
          <w:u w:val="single"/>
        </w:rPr>
        <w:t>日</w:t>
      </w:r>
      <w:r>
        <w:rPr>
          <w:rFonts w:hint="eastAsia" w:ascii="宋体" w:hAnsi="宋体"/>
          <w:sz w:val="24"/>
          <w:highlight w:val="none"/>
        </w:rPr>
        <w:t>，每日上午9时至12时，下午14时至16时，在成都生物制品研究所有限责任公司综合楼</w:t>
      </w:r>
      <w:r>
        <w:rPr>
          <w:rFonts w:hint="eastAsia" w:ascii="宋体" w:hAnsi="宋体"/>
          <w:sz w:val="24"/>
          <w:highlight w:val="none"/>
          <w:lang w:val="en-US" w:eastAsia="zh-CN"/>
        </w:rPr>
        <w:t>224</w:t>
      </w:r>
      <w:r>
        <w:rPr>
          <w:rFonts w:hint="eastAsia" w:ascii="宋体" w:hAnsi="宋体"/>
          <w:sz w:val="24"/>
          <w:highlight w:val="none"/>
        </w:rPr>
        <w:t>室报名并领取招标文件：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（1）有效身份证及单位介绍信；</w:t>
      </w:r>
      <w:bookmarkStart w:id="0" w:name="_GoBack"/>
      <w:bookmarkEnd w:id="0"/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（2）注册于中华人民共和国的企业法人营业执照；</w:t>
      </w:r>
    </w:p>
    <w:p>
      <w:pPr>
        <w:widowControl/>
        <w:snapToGrid w:val="0"/>
        <w:spacing w:before="156" w:beforeLines="50" w:after="156" w:afterLines="5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以上资料验收复印件（加盖鲜章）。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招标文件每套售价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 xml:space="preserve"> 0 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元。</w:t>
      </w:r>
    </w:p>
    <w:p>
      <w:pPr>
        <w:numPr>
          <w:ilvl w:val="0"/>
          <w:numId w:val="1"/>
        </w:numPr>
        <w:snapToGrid w:val="0"/>
        <w:spacing w:before="156" w:beforeLines="50" w:after="156" w:afterLines="5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投标文件的递交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投标文件递交截止时间：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日9时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，地点：成都市锦华路三段379号成都生物制品研究所有限责任公司综合楼</w:t>
      </w:r>
      <w:r>
        <w:rPr>
          <w:rFonts w:hint="eastAsia" w:ascii="宋体" w:hAnsi="宋体" w:cs="宋体"/>
          <w:bCs/>
          <w:sz w:val="24"/>
          <w:szCs w:val="21"/>
          <w:highlight w:val="none"/>
          <w:lang w:val="en-US" w:eastAsia="zh-CN"/>
        </w:rPr>
        <w:t>224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室；</w:t>
      </w:r>
    </w:p>
    <w:p>
      <w:pPr>
        <w:widowControl/>
        <w:numPr>
          <w:ilvl w:val="1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逾期送达的或者未送达指定地点的投标文件，招标人不予受理。</w:t>
      </w:r>
    </w:p>
    <w:p>
      <w:pPr>
        <w:widowControl/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发布公告的媒介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本次招标公告在</w:t>
      </w:r>
      <w:r>
        <w:rPr>
          <w:rFonts w:hint="eastAsia" w:ascii="宋体" w:hAnsi="宋体" w:cs="宋体"/>
          <w:bCs/>
          <w:sz w:val="24"/>
          <w:szCs w:val="21"/>
          <w:highlight w:val="none"/>
          <w:u w:val="single"/>
        </w:rPr>
        <w:t>成都生物制品研究所有限责任公司官网www.cdibp.com</w:t>
      </w:r>
      <w:r>
        <w:rPr>
          <w:rFonts w:hint="eastAsia" w:ascii="宋体" w:hAnsi="宋体" w:cs="宋体"/>
          <w:bCs/>
          <w:sz w:val="24"/>
          <w:szCs w:val="21"/>
          <w:highlight w:val="none"/>
        </w:rPr>
        <w:t>上发布。</w:t>
      </w:r>
    </w:p>
    <w:p>
      <w:pPr>
        <w:numPr>
          <w:ilvl w:val="0"/>
          <w:numId w:val="1"/>
        </w:numPr>
        <w:snapToGrid w:val="0"/>
        <w:spacing w:before="156" w:beforeLines="50" w:after="156" w:afterLines="5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联系方式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招标人：成都生物制品研究所有限责任公司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地  址：锦江区锦华路三段379号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hint="eastAsia" w:ascii="宋体" w:hAnsi="宋体" w:cs="宋体"/>
          <w:bCs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联系人：</w:t>
      </w:r>
      <w:r>
        <w:rPr>
          <w:rFonts w:hint="eastAsia" w:ascii="宋体" w:hAnsi="宋体" w:cs="宋体"/>
          <w:bCs/>
          <w:sz w:val="24"/>
          <w:szCs w:val="21"/>
          <w:highlight w:val="none"/>
          <w:lang w:val="en-US" w:eastAsia="zh-CN"/>
        </w:rPr>
        <w:t>廖老师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hint="default" w:ascii="宋体" w:hAnsi="宋体" w:eastAsia="宋体" w:cs="宋体"/>
          <w:bCs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szCs w:val="21"/>
          <w:highlight w:val="none"/>
        </w:rPr>
        <w:t>电  话：</w:t>
      </w:r>
      <w:r>
        <w:rPr>
          <w:rFonts w:hint="eastAsia" w:ascii="宋体" w:hAnsi="宋体"/>
          <w:sz w:val="24"/>
          <w:highlight w:val="none"/>
        </w:rPr>
        <w:t>028-8</w:t>
      </w:r>
      <w:r>
        <w:rPr>
          <w:rFonts w:hint="eastAsia" w:ascii="宋体" w:hAnsi="宋体"/>
          <w:sz w:val="24"/>
          <w:highlight w:val="none"/>
          <w:lang w:val="en-US" w:eastAsia="zh-CN"/>
        </w:rPr>
        <w:t>1377154</w:t>
      </w:r>
    </w:p>
    <w:p>
      <w:pPr>
        <w:numPr>
          <w:ilvl w:val="0"/>
          <w:numId w:val="1"/>
        </w:numPr>
        <w:snapToGrid w:val="0"/>
        <w:spacing w:before="156" w:beforeLines="50" w:after="156" w:afterLines="5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招标监督联系方式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ascii="宋体" w:hAnsi="宋体" w:cs="宋体"/>
          <w:bCs/>
          <w:sz w:val="24"/>
          <w:szCs w:val="21"/>
          <w:highlight w:val="none"/>
        </w:rPr>
        <w:t xml:space="preserve">纪检监督电话：028-84418847 </w:t>
      </w:r>
    </w:p>
    <w:p>
      <w:pPr>
        <w:widowControl/>
        <w:snapToGrid w:val="0"/>
        <w:spacing w:before="156" w:beforeLines="50" w:after="156" w:afterLines="50"/>
        <w:ind w:left="420" w:leftChars="200"/>
        <w:jc w:val="left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ascii="宋体" w:hAnsi="宋体" w:cs="宋体"/>
          <w:bCs/>
          <w:sz w:val="24"/>
          <w:szCs w:val="21"/>
          <w:highlight w:val="none"/>
        </w:rPr>
        <w:t>纪检监督邮箱：JJJC.CD@SINOPHARM.COM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57DEE"/>
    <w:multiLevelType w:val="singleLevel"/>
    <w:tmpl w:val="97357DE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C51966F"/>
    <w:multiLevelType w:val="multilevel"/>
    <w:tmpl w:val="BC5196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E6050EAB"/>
    <w:multiLevelType w:val="singleLevel"/>
    <w:tmpl w:val="E6050EA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50A36"/>
    <w:rsid w:val="013D14FA"/>
    <w:rsid w:val="08443346"/>
    <w:rsid w:val="0BB30937"/>
    <w:rsid w:val="0DBF0014"/>
    <w:rsid w:val="0F553ECA"/>
    <w:rsid w:val="191B30E6"/>
    <w:rsid w:val="1A675991"/>
    <w:rsid w:val="22BE26D5"/>
    <w:rsid w:val="310071A6"/>
    <w:rsid w:val="388E26AE"/>
    <w:rsid w:val="39850A36"/>
    <w:rsid w:val="3D5903F5"/>
    <w:rsid w:val="3E465673"/>
    <w:rsid w:val="3EF85750"/>
    <w:rsid w:val="40182DB3"/>
    <w:rsid w:val="41BB1B5F"/>
    <w:rsid w:val="4C2723E7"/>
    <w:rsid w:val="4D034DF1"/>
    <w:rsid w:val="518F112E"/>
    <w:rsid w:val="60783D10"/>
    <w:rsid w:val="644D5C6B"/>
    <w:rsid w:val="69F82CEA"/>
    <w:rsid w:val="72D01BD9"/>
    <w:rsid w:val="73CF29AB"/>
    <w:rsid w:val="7FA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420"/>
      </w:tabs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9"/>
    <w:basedOn w:val="1"/>
    <w:next w:val="1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中国生物技术股份有限公司 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2025-02-25T00:39:00Z</dcterms:created>
  <dc:creator>廖常静</dc:creator>
  <cp:lastModifiedBy>廖常静</cp:lastModifiedBy>
  <dcterms:modified xsi:type="dcterms:W3CDTF">2025-02-25T01:13:11Z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CF5FBE6DB842404CB03FAFE860A084BD</vt:lpwstr>
  </property>
</Properties>
</file>